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73FB" w14:textId="73559E1C" w:rsidR="006475C5" w:rsidRDefault="17D5A7B4" w:rsidP="00763714">
      <w:pPr>
        <w:spacing w:after="0" w:line="240" w:lineRule="auto"/>
        <w:jc w:val="both"/>
        <w:rPr>
          <w:rFonts w:ascii="Aptos" w:eastAsia="Aptos" w:hAnsi="Aptos"/>
        </w:rPr>
      </w:pPr>
      <w:r w:rsidRPr="338E9623">
        <w:rPr>
          <w:rFonts w:ascii="Aptos" w:eastAsia="Aptos" w:hAnsi="Aptos"/>
          <w:b/>
          <w:bCs/>
        </w:rPr>
        <w:t>Objet</w:t>
      </w:r>
      <w:r w:rsidRPr="338E9623">
        <w:rPr>
          <w:rFonts w:ascii="Aptos" w:eastAsia="Aptos" w:hAnsi="Aptos"/>
        </w:rPr>
        <w:t xml:space="preserve"> : Demande d’avis déontologique sur l’articulation entre les nouvelles instructions relatives au traitement des violences sexuelles sur mineurs, les obligations de diligence, d’indépendance et de loyauté, et la mise en cause publique de la responsabilité personnelle des magistrats par le </w:t>
      </w:r>
      <w:r w:rsidR="0F8EF727" w:rsidRPr="338E9623">
        <w:rPr>
          <w:rFonts w:ascii="Aptos" w:eastAsia="Aptos" w:hAnsi="Aptos"/>
        </w:rPr>
        <w:t>ministre</w:t>
      </w:r>
      <w:r w:rsidRPr="338E9623">
        <w:rPr>
          <w:rFonts w:ascii="Aptos" w:eastAsia="Aptos" w:hAnsi="Aptos"/>
        </w:rPr>
        <w:t xml:space="preserve"> de la Justice.</w:t>
      </w:r>
    </w:p>
    <w:p w14:paraId="37662A2A" w14:textId="2697B939"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6D3FD1FD" w14:textId="09A92796" w:rsidR="006475C5" w:rsidRDefault="530B2454" w:rsidP="00763714">
      <w:pPr>
        <w:spacing w:after="0" w:line="240" w:lineRule="auto"/>
        <w:jc w:val="both"/>
        <w:rPr>
          <w:rFonts w:ascii="Aptos" w:eastAsia="Aptos" w:hAnsi="Aptos"/>
        </w:rPr>
      </w:pPr>
      <w:r w:rsidRPr="2F2C8717">
        <w:rPr>
          <w:rFonts w:ascii="Aptos" w:eastAsia="Aptos" w:hAnsi="Aptos"/>
        </w:rPr>
        <w:t>Madame la Présidente, mesdames et messieurs les membres du Collège de déontologie,</w:t>
      </w:r>
    </w:p>
    <w:p w14:paraId="1B8C4415" w14:textId="348547C1"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5D8DCB6D" w14:textId="657C2AB7" w:rsidR="006475C5" w:rsidRDefault="228B465B" w:rsidP="00763714">
      <w:pPr>
        <w:spacing w:after="0" w:line="240" w:lineRule="auto"/>
        <w:jc w:val="both"/>
        <w:rPr>
          <w:rFonts w:ascii="Aptos" w:eastAsia="Aptos" w:hAnsi="Aptos"/>
        </w:rPr>
      </w:pPr>
      <w:r w:rsidRPr="194B75F5">
        <w:rPr>
          <w:rFonts w:ascii="Aptos" w:eastAsia="Aptos" w:hAnsi="Aptos"/>
        </w:rPr>
        <w:t xml:space="preserve">En ma qualité de magistrat du parquet, exerçant les fonctions de </w:t>
      </w:r>
      <w:r w:rsidR="1705E3B1" w:rsidRPr="194B75F5">
        <w:rPr>
          <w:rFonts w:ascii="Aptos" w:eastAsia="Aptos" w:hAnsi="Aptos"/>
        </w:rPr>
        <w:t xml:space="preserve">XXX </w:t>
      </w:r>
      <w:r w:rsidRPr="194B75F5">
        <w:rPr>
          <w:rFonts w:ascii="Aptos" w:eastAsia="Aptos" w:hAnsi="Aptos"/>
        </w:rPr>
        <w:t>près le tribunal judiciaire d</w:t>
      </w:r>
      <w:r w:rsidR="040692EA" w:rsidRPr="194B75F5">
        <w:rPr>
          <w:rFonts w:ascii="Aptos" w:eastAsia="Aptos" w:hAnsi="Aptos"/>
        </w:rPr>
        <w:t>e XXX</w:t>
      </w:r>
      <w:r w:rsidRPr="194B75F5">
        <w:rPr>
          <w:rFonts w:ascii="Aptos" w:eastAsia="Aptos" w:hAnsi="Aptos"/>
        </w:rPr>
        <w:t>, j’ai l’honneur de solliciter votre avis sur une situation qui met en contradiction, sinon en conflit, mes obligations déontologiques face à la réalité concrète de mes conditions de travail.</w:t>
      </w:r>
    </w:p>
    <w:p w14:paraId="27A75461" w14:textId="2F640916"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0DDF933D" w14:textId="2A7DB696" w:rsidR="006475C5" w:rsidRDefault="228B465B" w:rsidP="00763714">
      <w:pPr>
        <w:spacing w:after="0" w:line="240" w:lineRule="auto"/>
        <w:jc w:val="both"/>
        <w:rPr>
          <w:rFonts w:ascii="Aptos" w:eastAsia="Aptos" w:hAnsi="Aptos"/>
        </w:rPr>
      </w:pPr>
      <w:r w:rsidRPr="194B75F5">
        <w:rPr>
          <w:rFonts w:ascii="Aptos" w:eastAsia="Aptos" w:hAnsi="Aptos"/>
        </w:rPr>
        <w:t xml:space="preserve">Sensible à la protection de l'enfance et à la spécificité des contentieux familiaux, j’ai accepté, à la demande du </w:t>
      </w:r>
      <w:r w:rsidR="00866F00">
        <w:rPr>
          <w:rFonts w:ascii="Aptos" w:eastAsia="Aptos" w:hAnsi="Aptos"/>
        </w:rPr>
        <w:t>p</w:t>
      </w:r>
      <w:r w:rsidRPr="194B75F5">
        <w:rPr>
          <w:rFonts w:ascii="Aptos" w:eastAsia="Aptos" w:hAnsi="Aptos"/>
        </w:rPr>
        <w:t>rocureur de la République de ma juridiction, d’intégrer la section « MINEURS FAMILLES ». Disposant d'ores et déjà de l'habilitation « mineurs », je mesure pleinement la technicité et la responsabilité inhérentes à la direction des procédures touchant des mineurs en danger ou victimes de violences de toute nature.</w:t>
      </w:r>
    </w:p>
    <w:p w14:paraId="1E922B77" w14:textId="7C3B4F30"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07273AD4" w14:textId="3CAFF2FB" w:rsidR="006475C5" w:rsidRDefault="228B465B" w:rsidP="00763714">
      <w:pPr>
        <w:spacing w:after="0" w:line="240" w:lineRule="auto"/>
        <w:jc w:val="both"/>
        <w:rPr>
          <w:rFonts w:ascii="Aptos" w:eastAsia="Aptos" w:hAnsi="Aptos"/>
        </w:rPr>
      </w:pPr>
      <w:r w:rsidRPr="5C63C4EA">
        <w:rPr>
          <w:rFonts w:ascii="Aptos" w:eastAsia="Aptos" w:hAnsi="Aptos"/>
        </w:rPr>
        <w:t xml:space="preserve">Toutefois, l'exercice de ces missions s'inscrit aujourd'hui dans un climat institutionnel marqué par les récentes déclarations publiques du </w:t>
      </w:r>
      <w:r w:rsidR="6173A9D2" w:rsidRPr="5C63C4EA">
        <w:rPr>
          <w:rFonts w:ascii="Aptos" w:eastAsia="Aptos" w:hAnsi="Aptos"/>
        </w:rPr>
        <w:t>ministre</w:t>
      </w:r>
      <w:r w:rsidRPr="5C63C4EA">
        <w:rPr>
          <w:rFonts w:ascii="Aptos" w:eastAsia="Aptos" w:hAnsi="Aptos"/>
        </w:rPr>
        <w:t xml:space="preserve"> de la Justice à la suite du drame de </w:t>
      </w:r>
      <w:r w:rsidR="7FADFF6F" w:rsidRPr="5C63C4EA">
        <w:rPr>
          <w:rFonts w:ascii="Aptos" w:eastAsia="Aptos" w:hAnsi="Aptos"/>
        </w:rPr>
        <w:t>Fleurance</w:t>
      </w:r>
      <w:r w:rsidRPr="5C63C4EA">
        <w:rPr>
          <w:rFonts w:ascii="Aptos" w:eastAsia="Aptos" w:hAnsi="Aptos"/>
        </w:rPr>
        <w:t>. Avant même l'issue de toute enquête administrative contradictoire ou inspection de fonctionnement, l'autorité politique a publiquement affirmé que des collègues magistrats du parquet d'Auch engageaient leur responsabilité personnelle dans le traitement de ce dossier.</w:t>
      </w:r>
    </w:p>
    <w:p w14:paraId="69D83013" w14:textId="4959DED1"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0DB21D63" w14:textId="61A31815" w:rsidR="006475C5" w:rsidRDefault="530B2454" w:rsidP="00763714">
      <w:pPr>
        <w:spacing w:after="0" w:line="240" w:lineRule="auto"/>
        <w:jc w:val="both"/>
        <w:rPr>
          <w:rFonts w:ascii="Aptos" w:eastAsia="Aptos" w:hAnsi="Aptos"/>
        </w:rPr>
      </w:pPr>
      <w:r w:rsidRPr="2F2C8717">
        <w:rPr>
          <w:rFonts w:ascii="Aptos" w:eastAsia="Aptos" w:hAnsi="Aptos"/>
        </w:rPr>
        <w:t>Cette prise de parole, qui court-circuite les garanties élémentaires de la procédure disciplinaire et le respect du contradictoire, résonne douloureusement avec les réalités quotidiennes des parquets, créant un climat d’insécurité professionnelle incompatible avec la sérénité nécessaire à l’exercice de l’action publique.</w:t>
      </w:r>
    </w:p>
    <w:p w14:paraId="4F62DF7D" w14:textId="74130C76"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222F450A" w14:textId="28683BDC" w:rsidR="006475C5" w:rsidRDefault="228B465B" w:rsidP="00763714">
      <w:pPr>
        <w:spacing w:after="0" w:line="240" w:lineRule="auto"/>
        <w:jc w:val="both"/>
        <w:rPr>
          <w:rFonts w:ascii="Aptos" w:eastAsia="Aptos" w:hAnsi="Aptos"/>
        </w:rPr>
      </w:pPr>
      <w:r w:rsidRPr="194B75F5">
        <w:rPr>
          <w:rFonts w:ascii="Aptos" w:eastAsia="Aptos" w:hAnsi="Aptos"/>
        </w:rPr>
        <w:t>Le dilemme déontologique auquel je suis confronté ne relève pas d'une carence individuelle, mais d'un décalage structurel étayé par les rapports officiels de l'institution judiciaire. Le rapport de la mission inter-inspections d'évaluation des procédures en matière de violences sexuelles faites aux enfants (IGJ-CIIVISE, juillet 2022) dresse des</w:t>
      </w:r>
      <w:r w:rsidR="00866F00">
        <w:rPr>
          <w:rFonts w:ascii="Aptos" w:eastAsia="Aptos" w:hAnsi="Aptos"/>
        </w:rPr>
        <w:t xml:space="preserve"> </w:t>
      </w:r>
      <w:r w:rsidRPr="194B75F5">
        <w:rPr>
          <w:rFonts w:ascii="Aptos" w:eastAsia="Aptos" w:hAnsi="Aptos"/>
        </w:rPr>
        <w:t>constats sans équivoque qui s'appliquent directement au quotidien de la section des « MINEURS-FAMILLE » du parquet d</w:t>
      </w:r>
      <w:r w:rsidR="5A61DE83" w:rsidRPr="194B75F5">
        <w:rPr>
          <w:rFonts w:ascii="Aptos" w:eastAsia="Aptos" w:hAnsi="Aptos"/>
        </w:rPr>
        <w:t>e XXX</w:t>
      </w:r>
      <w:r w:rsidRPr="194B75F5">
        <w:rPr>
          <w:rFonts w:ascii="Aptos" w:eastAsia="Aptos" w:hAnsi="Aptos"/>
        </w:rPr>
        <w:t xml:space="preserve"> :</w:t>
      </w:r>
    </w:p>
    <w:p w14:paraId="5CCFEFB3" w14:textId="09C235AA"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4946F920" w14:textId="1373EF94" w:rsidR="006475C5" w:rsidRDefault="228B465B" w:rsidP="00763714">
      <w:pPr>
        <w:numPr>
          <w:ilvl w:val="0"/>
          <w:numId w:val="1"/>
        </w:numPr>
        <w:spacing w:after="0" w:line="240" w:lineRule="auto"/>
        <w:jc w:val="both"/>
        <w:rPr>
          <w:rFonts w:ascii="Aptos" w:eastAsia="Aptos" w:hAnsi="Aptos"/>
        </w:rPr>
      </w:pPr>
      <w:r w:rsidRPr="194B75F5">
        <w:rPr>
          <w:rFonts w:ascii="Aptos" w:eastAsia="Aptos" w:hAnsi="Aptos"/>
        </w:rPr>
        <w:t>Pénurie de moyens humains et matériels : Le rapport rappelle formellement que le manque de moyens humains, tout particulièrement au sein des parquets, induit un risque systémique de traitement « dégradé » ou « très long » des procédures civiles et pénales protégeant les mineurs.</w:t>
      </w:r>
    </w:p>
    <w:p w14:paraId="764957E7" w14:textId="77777777" w:rsidR="00866F00" w:rsidRDefault="00866F00" w:rsidP="00866F00">
      <w:pPr>
        <w:spacing w:after="0" w:line="240" w:lineRule="auto"/>
        <w:ind w:left="720"/>
        <w:jc w:val="both"/>
        <w:rPr>
          <w:rFonts w:ascii="Aptos" w:eastAsia="Aptos" w:hAnsi="Aptos"/>
        </w:rPr>
      </w:pPr>
    </w:p>
    <w:p w14:paraId="19EB4A41" w14:textId="65C3BDAA" w:rsidR="006475C5" w:rsidRDefault="2639D4E9" w:rsidP="5C63C4EA">
      <w:pPr>
        <w:numPr>
          <w:ilvl w:val="0"/>
          <w:numId w:val="1"/>
        </w:numPr>
        <w:spacing w:after="0" w:line="240" w:lineRule="auto"/>
        <w:jc w:val="both"/>
        <w:rPr>
          <w:rFonts w:ascii="Aptos" w:eastAsia="Aptos" w:hAnsi="Aptos"/>
        </w:rPr>
      </w:pPr>
      <w:r w:rsidRPr="5C63C4EA">
        <w:rPr>
          <w:rFonts w:ascii="Aptos" w:eastAsia="Aptos" w:hAnsi="Aptos"/>
        </w:rPr>
        <w:t>Sous-encadrement chronique par rapport aux standards européens : En note de bas de page, les données de la CEPEJ rappelées par l'inspection soulignent que la France ne compte que 3</w:t>
      </w:r>
      <w:r w:rsidR="101DA415" w:rsidRPr="5C63C4EA">
        <w:rPr>
          <w:rFonts w:ascii="Aptos" w:eastAsia="Aptos" w:hAnsi="Aptos"/>
        </w:rPr>
        <w:t>,2</w:t>
      </w:r>
      <w:r w:rsidRPr="5C63C4EA">
        <w:rPr>
          <w:rFonts w:ascii="Aptos" w:eastAsia="Aptos" w:hAnsi="Aptos"/>
        </w:rPr>
        <w:t xml:space="preserve"> magistrats du parquet pour 100 000 habitants, contre une moyenne de </w:t>
      </w:r>
      <w:r w:rsidR="62571FBF" w:rsidRPr="5C63C4EA">
        <w:rPr>
          <w:rFonts w:ascii="Aptos" w:eastAsia="Aptos" w:hAnsi="Aptos"/>
        </w:rPr>
        <w:t>1</w:t>
      </w:r>
      <w:r w:rsidR="4451DFCF" w:rsidRPr="5C63C4EA">
        <w:rPr>
          <w:rFonts w:ascii="Aptos" w:eastAsia="Aptos" w:hAnsi="Aptos"/>
        </w:rPr>
        <w:t>2</w:t>
      </w:r>
      <w:r w:rsidR="62571FBF" w:rsidRPr="5C63C4EA">
        <w:rPr>
          <w:rFonts w:ascii="Aptos" w:eastAsia="Aptos" w:hAnsi="Aptos"/>
        </w:rPr>
        <w:t>,2</w:t>
      </w:r>
      <w:r w:rsidRPr="5C63C4EA">
        <w:rPr>
          <w:rFonts w:ascii="Aptos" w:eastAsia="Aptos" w:hAnsi="Aptos"/>
        </w:rPr>
        <w:t xml:space="preserve"> dans les pays du Conseil de l'Europe. Les parquets </w:t>
      </w:r>
      <w:proofErr w:type="gramStart"/>
      <w:r w:rsidRPr="5C63C4EA">
        <w:rPr>
          <w:rFonts w:ascii="Aptos" w:eastAsia="Aptos" w:hAnsi="Aptos"/>
        </w:rPr>
        <w:lastRenderedPageBreak/>
        <w:t>français</w:t>
      </w:r>
      <w:proofErr w:type="gramEnd"/>
      <w:r w:rsidRPr="5C63C4EA">
        <w:rPr>
          <w:rFonts w:ascii="Aptos" w:eastAsia="Aptos" w:hAnsi="Aptos"/>
        </w:rPr>
        <w:t xml:space="preserve"> doivent pourtant gérer un flux d'affaires extrêmement élevé tout en assumant des missions juridictionnelles et administratives lourdes et polyvalentes.</w:t>
      </w:r>
    </w:p>
    <w:p w14:paraId="78DEE062" w14:textId="77777777" w:rsidR="00866F00" w:rsidRDefault="00866F00" w:rsidP="00866F00">
      <w:pPr>
        <w:spacing w:after="0" w:line="240" w:lineRule="auto"/>
        <w:jc w:val="both"/>
        <w:rPr>
          <w:rFonts w:ascii="Aptos" w:eastAsia="Aptos" w:hAnsi="Aptos"/>
        </w:rPr>
      </w:pPr>
    </w:p>
    <w:p w14:paraId="7C694EA5" w14:textId="5421EAC9" w:rsidR="006475C5" w:rsidRDefault="228B465B" w:rsidP="00763714">
      <w:pPr>
        <w:numPr>
          <w:ilvl w:val="0"/>
          <w:numId w:val="1"/>
        </w:numPr>
        <w:spacing w:after="0" w:line="240" w:lineRule="auto"/>
        <w:jc w:val="both"/>
        <w:rPr>
          <w:rFonts w:ascii="Aptos" w:eastAsia="Aptos" w:hAnsi="Aptos"/>
        </w:rPr>
      </w:pPr>
      <w:r w:rsidRPr="194B75F5">
        <w:rPr>
          <w:rFonts w:ascii="Aptos" w:eastAsia="Aptos" w:hAnsi="Aptos"/>
        </w:rPr>
        <w:t>Souffrance institutionnelle et charge mentale : L'inspection objective une « charge morale indéniable », une lassitude et des risques psychosociaux majeurs (traumatismes vicariants dits par ricochet) pesant sur les magistrats du parquet confrontés à la matière des mineurs. Le rapport souligne expressément que cette souffrance est « renforcée par la crainte de voir leur responsabilité engagée ».</w:t>
      </w:r>
    </w:p>
    <w:p w14:paraId="272A614A" w14:textId="5727906D"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33344E01" w14:textId="1EE2CC4F" w:rsidR="006475C5" w:rsidRDefault="530B2454" w:rsidP="00763714">
      <w:pPr>
        <w:spacing w:after="0" w:line="240" w:lineRule="auto"/>
        <w:jc w:val="both"/>
        <w:rPr>
          <w:rFonts w:ascii="Aptos" w:eastAsia="Aptos" w:hAnsi="Aptos"/>
        </w:rPr>
      </w:pPr>
      <w:r w:rsidRPr="2F2C8717">
        <w:rPr>
          <w:rFonts w:ascii="Aptos" w:eastAsia="Aptos" w:hAnsi="Aptos"/>
        </w:rPr>
        <w:t>Face à ces données matérielles, le respect scrupuleux des obligations de diligence et de promptitude se heurte quotidiennement à l'impossible gestion en temps réel de flux et de stocks de dossiers volumineux, faute d'effectifs suffisants au siège, au parquet et au sein des services d'enquête.</w:t>
      </w:r>
    </w:p>
    <w:p w14:paraId="1368FC5F" w14:textId="5E7ABF1A" w:rsidR="006475C5" w:rsidRDefault="530B2454" w:rsidP="00763714">
      <w:pPr>
        <w:spacing w:after="0" w:line="240" w:lineRule="auto"/>
        <w:jc w:val="both"/>
        <w:rPr>
          <w:rFonts w:ascii="Aptos" w:eastAsia="Aptos" w:hAnsi="Aptos"/>
          <w:b/>
          <w:bCs/>
        </w:rPr>
      </w:pPr>
      <w:r w:rsidRPr="2F2C8717">
        <w:rPr>
          <w:rFonts w:ascii="Aptos" w:eastAsia="Aptos" w:hAnsi="Aptos"/>
          <w:b/>
          <w:bCs/>
        </w:rPr>
        <w:t xml:space="preserve"> </w:t>
      </w:r>
    </w:p>
    <w:p w14:paraId="23CC0321" w14:textId="1CDC4728" w:rsidR="006475C5" w:rsidRDefault="530B2454" w:rsidP="00763714">
      <w:pPr>
        <w:spacing w:after="0" w:line="240" w:lineRule="auto"/>
        <w:jc w:val="both"/>
        <w:rPr>
          <w:rFonts w:ascii="Aptos" w:eastAsia="Aptos" w:hAnsi="Aptos"/>
        </w:rPr>
      </w:pPr>
      <w:r w:rsidRPr="2F2C8717">
        <w:rPr>
          <w:rFonts w:ascii="Aptos" w:eastAsia="Aptos" w:hAnsi="Aptos"/>
        </w:rPr>
        <w:t>Au regard de ce qui précède, les déclarations de notre ministre – qui impute une responsabilité individuelle immédiate sans égard pour les défaillances systémiques de moyens – me placent dans une situation d'insécurité déontologique et de souffrance éthique.</w:t>
      </w:r>
    </w:p>
    <w:p w14:paraId="47B4D6C2" w14:textId="304C6F65"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1A464AE1" w14:textId="2CD01FBD" w:rsidR="006475C5" w:rsidRDefault="530B2454" w:rsidP="00763714">
      <w:pPr>
        <w:spacing w:after="0" w:line="240" w:lineRule="auto"/>
        <w:jc w:val="both"/>
        <w:rPr>
          <w:rFonts w:ascii="Aptos" w:eastAsia="Aptos" w:hAnsi="Aptos"/>
        </w:rPr>
      </w:pPr>
      <w:r w:rsidRPr="2F2C8717">
        <w:rPr>
          <w:rFonts w:ascii="Aptos" w:eastAsia="Aptos" w:hAnsi="Aptos"/>
        </w:rPr>
        <w:t>Je sollicite votre avis sur les trois points suivants :</w:t>
      </w:r>
    </w:p>
    <w:p w14:paraId="0F361F64" w14:textId="77777777" w:rsidR="00866F00" w:rsidRDefault="00866F00" w:rsidP="00763714">
      <w:pPr>
        <w:spacing w:after="0" w:line="240" w:lineRule="auto"/>
        <w:jc w:val="both"/>
        <w:rPr>
          <w:rFonts w:ascii="Aptos" w:eastAsia="Aptos" w:hAnsi="Aptos"/>
        </w:rPr>
      </w:pPr>
    </w:p>
    <w:p w14:paraId="4B49FB80" w14:textId="2A7FDA71" w:rsidR="006475C5" w:rsidRDefault="530B2454" w:rsidP="00866F00">
      <w:pPr>
        <w:pStyle w:val="Paragraphedeliste"/>
        <w:numPr>
          <w:ilvl w:val="0"/>
          <w:numId w:val="2"/>
        </w:numPr>
        <w:spacing w:after="0" w:line="240" w:lineRule="auto"/>
        <w:jc w:val="both"/>
        <w:rPr>
          <w:rFonts w:ascii="Aptos" w:eastAsia="Aptos" w:hAnsi="Aptos"/>
        </w:rPr>
      </w:pPr>
      <w:r w:rsidRPr="00866F00">
        <w:rPr>
          <w:rFonts w:ascii="Aptos" w:eastAsia="Aptos" w:hAnsi="Aptos"/>
          <w:b/>
          <w:bCs/>
        </w:rPr>
        <w:t>Au regard de l’obligation de diligence</w:t>
      </w:r>
      <w:r w:rsidRPr="00866F00">
        <w:rPr>
          <w:rFonts w:ascii="Aptos" w:eastAsia="Aptos" w:hAnsi="Aptos"/>
        </w:rPr>
        <w:t xml:space="preserve"> : Comment s'apprécie l'obligation déontologique de diligence d'un magistrat du parquet, spécifiquement au sein d'une section spécialisée « Mineurs », lorsque le volume des procédures à traiter et l'insuffisance structurelle des moyens de la juridiction (constatée par les rapports d'inspection) font obstacle matériellement à un traitement instantané et exhaustif de chaque signalement ? La responsabilité déontologique individuelle du magistrat peut-elle être valablement recherchée lorsque le dysfonctionnement ou le retard trouve sa source directe dans le manque de moyens humains alloués par l'État ?</w:t>
      </w:r>
    </w:p>
    <w:p w14:paraId="509675EB" w14:textId="77777777" w:rsidR="00866F00" w:rsidRPr="00866F00" w:rsidRDefault="00866F00" w:rsidP="00866F00">
      <w:pPr>
        <w:pStyle w:val="Paragraphedeliste"/>
        <w:spacing w:after="0" w:line="240" w:lineRule="auto"/>
        <w:ind w:left="983"/>
        <w:jc w:val="both"/>
        <w:rPr>
          <w:rFonts w:ascii="Aptos" w:eastAsia="Aptos" w:hAnsi="Aptos"/>
        </w:rPr>
      </w:pPr>
    </w:p>
    <w:p w14:paraId="5000F424" w14:textId="60C1ED51" w:rsidR="006475C5" w:rsidRDefault="530B2454" w:rsidP="00763714">
      <w:pPr>
        <w:pStyle w:val="Paragraphedeliste"/>
        <w:numPr>
          <w:ilvl w:val="0"/>
          <w:numId w:val="2"/>
        </w:numPr>
        <w:spacing w:after="0" w:line="240" w:lineRule="auto"/>
        <w:jc w:val="both"/>
        <w:rPr>
          <w:rFonts w:ascii="Aptos" w:eastAsia="Aptos" w:hAnsi="Aptos"/>
        </w:rPr>
      </w:pPr>
      <w:r w:rsidRPr="00866F00">
        <w:rPr>
          <w:rFonts w:ascii="Aptos" w:eastAsia="Aptos" w:hAnsi="Aptos"/>
        </w:rPr>
        <w:t xml:space="preserve"> </w:t>
      </w:r>
      <w:r w:rsidRPr="00866F00">
        <w:rPr>
          <w:rFonts w:ascii="Aptos" w:eastAsia="Aptos" w:hAnsi="Aptos"/>
          <w:b/>
          <w:bCs/>
        </w:rPr>
        <w:t>Au regard de l’obligation d’indépendance</w:t>
      </w:r>
      <w:r w:rsidRPr="00866F00">
        <w:rPr>
          <w:rFonts w:ascii="Aptos" w:eastAsia="Aptos" w:hAnsi="Aptos"/>
        </w:rPr>
        <w:t xml:space="preserve"> : L'indépendance d'esprit et l'impartialité nécessaires à l'orientation des procédures de protection de l'enfance ne se trouvent-elles pas compromises par la pression médiatico-politique que font peser des déclarations ministérielles incriminant personnellement des magistrats avant toute enquête contradictoire ? Comment le magistrat du parquet peut-il préserver sa liberté d'appréciation en opportunité face à ce que la mission inter-inspections qualifie « d'épée de Damoclès » permanente ?</w:t>
      </w:r>
    </w:p>
    <w:p w14:paraId="570CA6DC" w14:textId="77777777" w:rsidR="00866F00" w:rsidRDefault="00866F00" w:rsidP="00866F00">
      <w:pPr>
        <w:pStyle w:val="Paragraphedeliste"/>
        <w:spacing w:after="0" w:line="240" w:lineRule="auto"/>
        <w:ind w:left="983"/>
        <w:jc w:val="both"/>
        <w:rPr>
          <w:rFonts w:ascii="Aptos" w:eastAsia="Aptos" w:hAnsi="Aptos"/>
        </w:rPr>
      </w:pPr>
    </w:p>
    <w:p w14:paraId="0513F98E" w14:textId="5500564D" w:rsidR="006475C5" w:rsidRPr="00866F00" w:rsidRDefault="530B2454" w:rsidP="00763714">
      <w:pPr>
        <w:pStyle w:val="Paragraphedeliste"/>
        <w:numPr>
          <w:ilvl w:val="0"/>
          <w:numId w:val="2"/>
        </w:numPr>
        <w:spacing w:after="0" w:line="240" w:lineRule="auto"/>
        <w:jc w:val="both"/>
        <w:rPr>
          <w:rFonts w:ascii="Aptos" w:eastAsia="Aptos" w:hAnsi="Aptos"/>
        </w:rPr>
      </w:pPr>
      <w:r w:rsidRPr="00866F00">
        <w:rPr>
          <w:rFonts w:ascii="Aptos" w:eastAsia="Aptos" w:hAnsi="Aptos"/>
        </w:rPr>
        <w:t xml:space="preserve"> </w:t>
      </w:r>
      <w:r w:rsidRPr="00866F00">
        <w:rPr>
          <w:rFonts w:ascii="Aptos" w:eastAsia="Aptos" w:hAnsi="Aptos"/>
          <w:b/>
          <w:bCs/>
        </w:rPr>
        <w:t>Au regard de l’obligation de loyauté</w:t>
      </w:r>
      <w:r w:rsidRPr="00866F00">
        <w:rPr>
          <w:rFonts w:ascii="Aptos" w:eastAsia="Aptos" w:hAnsi="Aptos"/>
        </w:rPr>
        <w:t xml:space="preserve"> : L'obligation de loyauté s'impose au magistrat envers l'institution judiciaire. Comment s’articule cette obligation avec le devoir de réserve et la loyauté que l'institution doit elle-même à ses membres, lorsque l'autorité centrale s'affranchit publiquement de la protection fonctionnelle et des principes du contradictoire à l'égard de </w:t>
      </w:r>
      <w:r w:rsidRPr="00866F00">
        <w:rPr>
          <w:rFonts w:ascii="Aptos" w:eastAsia="Aptos" w:hAnsi="Aptos"/>
        </w:rPr>
        <w:lastRenderedPageBreak/>
        <w:t>collègues confrontés aux mêmes limitations matérielles que celles que je connais dans mon propre ressort ?</w:t>
      </w:r>
    </w:p>
    <w:p w14:paraId="67318D6E" w14:textId="3B3530CE" w:rsidR="006475C5" w:rsidRDefault="530B2454" w:rsidP="00763714">
      <w:pPr>
        <w:spacing w:after="0" w:line="240" w:lineRule="auto"/>
        <w:jc w:val="both"/>
        <w:rPr>
          <w:rFonts w:ascii="Aptos" w:eastAsia="Aptos" w:hAnsi="Aptos"/>
        </w:rPr>
      </w:pPr>
      <w:r w:rsidRPr="2F2C8717">
        <w:rPr>
          <w:rFonts w:ascii="Aptos" w:eastAsia="Aptos" w:hAnsi="Aptos"/>
        </w:rPr>
        <w:t xml:space="preserve"> </w:t>
      </w:r>
    </w:p>
    <w:p w14:paraId="7392A26E" w14:textId="2B42DB3E" w:rsidR="006475C5" w:rsidRDefault="228B465B" w:rsidP="00763714">
      <w:pPr>
        <w:spacing w:after="0" w:line="240" w:lineRule="auto"/>
        <w:jc w:val="both"/>
        <w:rPr>
          <w:rFonts w:ascii="Aptos" w:eastAsia="Aptos" w:hAnsi="Aptos"/>
        </w:rPr>
      </w:pPr>
      <w:r w:rsidRPr="194B75F5">
        <w:rPr>
          <w:rFonts w:ascii="Aptos" w:eastAsia="Aptos" w:hAnsi="Aptos"/>
        </w:rPr>
        <w:t>Je vous remercie par avance de l’attention que vous porterez à cette démarche, dictée par le souci constant de concilier l'éthique de notre profession avec la réalité des missions que j'ai accepté de servir au tribunal judiciaire d</w:t>
      </w:r>
      <w:r w:rsidR="50047015" w:rsidRPr="194B75F5">
        <w:rPr>
          <w:rFonts w:ascii="Aptos" w:eastAsia="Aptos" w:hAnsi="Aptos"/>
        </w:rPr>
        <w:t>e XXX</w:t>
      </w:r>
      <w:r w:rsidRPr="194B75F5">
        <w:rPr>
          <w:rFonts w:ascii="Aptos" w:eastAsia="Aptos" w:hAnsi="Aptos"/>
        </w:rPr>
        <w:t>.</w:t>
      </w:r>
    </w:p>
    <w:p w14:paraId="3BE6F0F0" w14:textId="5177BAAF" w:rsidR="006475C5" w:rsidRDefault="006475C5" w:rsidP="00763714">
      <w:pPr>
        <w:spacing w:after="0" w:line="240" w:lineRule="auto"/>
        <w:jc w:val="both"/>
        <w:rPr>
          <w:rFonts w:ascii="Aptos" w:eastAsia="Aptos" w:hAnsi="Aptos"/>
        </w:rPr>
      </w:pPr>
    </w:p>
    <w:p w14:paraId="3BFEFB25" w14:textId="12543320" w:rsidR="006475C5" w:rsidRDefault="006475C5" w:rsidP="00763714">
      <w:pPr>
        <w:spacing w:after="0" w:line="240" w:lineRule="auto"/>
        <w:jc w:val="both"/>
      </w:pPr>
    </w:p>
    <w:sectPr w:rsidR="006475C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32E"/>
    <w:multiLevelType w:val="hybridMultilevel"/>
    <w:tmpl w:val="362C8950"/>
    <w:lvl w:ilvl="0" w:tplc="04687DBC">
      <w:start w:val="1"/>
      <w:numFmt w:val="decimal"/>
      <w:lvlText w:val="%1."/>
      <w:lvlJc w:val="left"/>
      <w:pPr>
        <w:ind w:left="983" w:hanging="62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CA1C3A"/>
    <w:multiLevelType w:val="hybridMultilevel"/>
    <w:tmpl w:val="1196F8CA"/>
    <w:lvl w:ilvl="0" w:tplc="016E14CE">
      <w:start w:val="1"/>
      <w:numFmt w:val="bullet"/>
      <w:lvlText w:val=""/>
      <w:lvlJc w:val="left"/>
      <w:pPr>
        <w:ind w:left="720" w:hanging="360"/>
      </w:pPr>
      <w:rPr>
        <w:rFonts w:ascii="Symbol" w:hAnsi="Symbol" w:hint="default"/>
      </w:rPr>
    </w:lvl>
    <w:lvl w:ilvl="1" w:tplc="967232D0">
      <w:start w:val="1"/>
      <w:numFmt w:val="bullet"/>
      <w:lvlText w:val="o"/>
      <w:lvlJc w:val="left"/>
      <w:pPr>
        <w:ind w:left="1440" w:hanging="360"/>
      </w:pPr>
      <w:rPr>
        <w:rFonts w:ascii="Courier New" w:hAnsi="Courier New" w:hint="default"/>
      </w:rPr>
    </w:lvl>
    <w:lvl w:ilvl="2" w:tplc="D0EEB5CA">
      <w:start w:val="1"/>
      <w:numFmt w:val="bullet"/>
      <w:lvlText w:val=""/>
      <w:lvlJc w:val="left"/>
      <w:pPr>
        <w:ind w:left="2160" w:hanging="360"/>
      </w:pPr>
      <w:rPr>
        <w:rFonts w:ascii="Wingdings" w:hAnsi="Wingdings" w:hint="default"/>
      </w:rPr>
    </w:lvl>
    <w:lvl w:ilvl="3" w:tplc="89AAA184">
      <w:start w:val="1"/>
      <w:numFmt w:val="bullet"/>
      <w:lvlText w:val=""/>
      <w:lvlJc w:val="left"/>
      <w:pPr>
        <w:ind w:left="2880" w:hanging="360"/>
      </w:pPr>
      <w:rPr>
        <w:rFonts w:ascii="Symbol" w:hAnsi="Symbol" w:hint="default"/>
      </w:rPr>
    </w:lvl>
    <w:lvl w:ilvl="4" w:tplc="BE38DECA">
      <w:start w:val="1"/>
      <w:numFmt w:val="bullet"/>
      <w:lvlText w:val="o"/>
      <w:lvlJc w:val="left"/>
      <w:pPr>
        <w:ind w:left="3600" w:hanging="360"/>
      </w:pPr>
      <w:rPr>
        <w:rFonts w:ascii="Courier New" w:hAnsi="Courier New" w:hint="default"/>
      </w:rPr>
    </w:lvl>
    <w:lvl w:ilvl="5" w:tplc="6AA48718">
      <w:start w:val="1"/>
      <w:numFmt w:val="bullet"/>
      <w:lvlText w:val=""/>
      <w:lvlJc w:val="left"/>
      <w:pPr>
        <w:ind w:left="4320" w:hanging="360"/>
      </w:pPr>
      <w:rPr>
        <w:rFonts w:ascii="Wingdings" w:hAnsi="Wingdings" w:hint="default"/>
      </w:rPr>
    </w:lvl>
    <w:lvl w:ilvl="6" w:tplc="2140089E">
      <w:start w:val="1"/>
      <w:numFmt w:val="bullet"/>
      <w:lvlText w:val=""/>
      <w:lvlJc w:val="left"/>
      <w:pPr>
        <w:ind w:left="5040" w:hanging="360"/>
      </w:pPr>
      <w:rPr>
        <w:rFonts w:ascii="Symbol" w:hAnsi="Symbol" w:hint="default"/>
      </w:rPr>
    </w:lvl>
    <w:lvl w:ilvl="7" w:tplc="D040AFB0">
      <w:start w:val="1"/>
      <w:numFmt w:val="bullet"/>
      <w:lvlText w:val="o"/>
      <w:lvlJc w:val="left"/>
      <w:pPr>
        <w:ind w:left="5760" w:hanging="360"/>
      </w:pPr>
      <w:rPr>
        <w:rFonts w:ascii="Courier New" w:hAnsi="Courier New" w:hint="default"/>
      </w:rPr>
    </w:lvl>
    <w:lvl w:ilvl="8" w:tplc="61149F70">
      <w:start w:val="1"/>
      <w:numFmt w:val="bullet"/>
      <w:lvlText w:val=""/>
      <w:lvlJc w:val="left"/>
      <w:pPr>
        <w:ind w:left="6480" w:hanging="360"/>
      </w:pPr>
      <w:rPr>
        <w:rFonts w:ascii="Wingdings" w:hAnsi="Wingdings" w:hint="default"/>
      </w:rPr>
    </w:lvl>
  </w:abstractNum>
  <w:num w:numId="1" w16cid:durableId="1509522848">
    <w:abstractNumId w:val="1"/>
  </w:num>
  <w:num w:numId="2" w16cid:durableId="135969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A3506"/>
    <w:rsid w:val="002E1B52"/>
    <w:rsid w:val="006475C5"/>
    <w:rsid w:val="00763714"/>
    <w:rsid w:val="00866F00"/>
    <w:rsid w:val="009145FA"/>
    <w:rsid w:val="00A4338D"/>
    <w:rsid w:val="040692EA"/>
    <w:rsid w:val="0F8EF727"/>
    <w:rsid w:val="101DA415"/>
    <w:rsid w:val="1705E3B1"/>
    <w:rsid w:val="17D5A7B4"/>
    <w:rsid w:val="194B75F5"/>
    <w:rsid w:val="228B465B"/>
    <w:rsid w:val="23ED0D76"/>
    <w:rsid w:val="2639D4E9"/>
    <w:rsid w:val="2F2C8717"/>
    <w:rsid w:val="338E9623"/>
    <w:rsid w:val="33914A55"/>
    <w:rsid w:val="3A6852D8"/>
    <w:rsid w:val="3BBA3506"/>
    <w:rsid w:val="3C99EA18"/>
    <w:rsid w:val="3CE7F96D"/>
    <w:rsid w:val="4451DFCF"/>
    <w:rsid w:val="50047015"/>
    <w:rsid w:val="530B2454"/>
    <w:rsid w:val="577DF3A5"/>
    <w:rsid w:val="5A61DE83"/>
    <w:rsid w:val="5C63C4EA"/>
    <w:rsid w:val="5CD6ACF9"/>
    <w:rsid w:val="6173A9D2"/>
    <w:rsid w:val="62571FBF"/>
    <w:rsid w:val="7FADF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1208"/>
  <w15:chartTrackingRefBased/>
  <w15:docId w15:val="{F2273639-F421-40AB-B5CD-BE862E5C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6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151e99-10a0-4ca4-a165-f15ad358420b">
      <Terms xmlns="http://schemas.microsoft.com/office/infopath/2007/PartnerControls"/>
    </lcf76f155ced4ddcb4097134ff3c332f>
    <TaxCatchAll xmlns="b6d1ef79-db70-4bfd-a47b-f0a4ae9b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60110067CC5A4EA224973316E7E176" ma:contentTypeVersion="15" ma:contentTypeDescription="Create a new document." ma:contentTypeScope="" ma:versionID="f2b0a35ab6e5ab74d3684104baa6a445">
  <xsd:schema xmlns:xsd="http://www.w3.org/2001/XMLSchema" xmlns:xs="http://www.w3.org/2001/XMLSchema" xmlns:p="http://schemas.microsoft.com/office/2006/metadata/properties" xmlns:ns2="23151e99-10a0-4ca4-a165-f15ad358420b" xmlns:ns3="b6d1ef79-db70-4bfd-a47b-f0a4ae9b7555" targetNamespace="http://schemas.microsoft.com/office/2006/metadata/properties" ma:root="true" ma:fieldsID="c0624fa3ad227c2adc98001c67a5a53d" ns2:_="" ns3:_="">
    <xsd:import namespace="23151e99-10a0-4ca4-a165-f15ad358420b"/>
    <xsd:import namespace="b6d1ef79-db70-4bfd-a47b-f0a4ae9b75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1e99-10a0-4ca4-a165-f15ad358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4d95c6-05af-4885-b992-f265affbb1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1ef79-db70-4bfd-a47b-f0a4ae9b75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d52fea-0b64-4809-a465-4bc86089a0a0}" ma:internalName="TaxCatchAll" ma:showField="CatchAllData" ma:web="b6d1ef79-db70-4bfd-a47b-f0a4ae9b75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44547-B305-4DF5-9CDC-147D2D4CF73B}">
  <ds:schemaRefs>
    <ds:schemaRef ds:uri="http://schemas.microsoft.com/sharepoint/v3/contenttype/forms"/>
  </ds:schemaRefs>
</ds:datastoreItem>
</file>

<file path=customXml/itemProps2.xml><?xml version="1.0" encoding="utf-8"?>
<ds:datastoreItem xmlns:ds="http://schemas.openxmlformats.org/officeDocument/2006/customXml" ds:itemID="{5A7542EE-1FD9-448D-AC20-3D307B2DDDE1}">
  <ds:schemaRefs>
    <ds:schemaRef ds:uri="http://schemas.microsoft.com/office/2006/metadata/properties"/>
    <ds:schemaRef ds:uri="http://schemas.microsoft.com/office/infopath/2007/PartnerControls"/>
    <ds:schemaRef ds:uri="23151e99-10a0-4ca4-a165-f15ad358420b"/>
    <ds:schemaRef ds:uri="b6d1ef79-db70-4bfd-a47b-f0a4ae9b7555"/>
  </ds:schemaRefs>
</ds:datastoreItem>
</file>

<file path=customXml/itemProps3.xml><?xml version="1.0" encoding="utf-8"?>
<ds:datastoreItem xmlns:ds="http://schemas.openxmlformats.org/officeDocument/2006/customXml" ds:itemID="{3D04E3C4-772C-4EF1-9B3C-07F66DF50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51e99-10a0-4ca4-a165-f15ad358420b"/>
    <ds:schemaRef ds:uri="b6d1ef79-db70-4bfd-a47b-f0a4ae9b7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5137</Characters>
  <Application>Microsoft Office Word</Application>
  <DocSecurity>0</DocSecurity>
  <Lines>42</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DESPIT</dc:creator>
  <cp:keywords/>
  <dc:description/>
  <cp:lastModifiedBy>Delphine DESPIT</cp:lastModifiedBy>
  <cp:revision>2</cp:revision>
  <dcterms:created xsi:type="dcterms:W3CDTF">2026-07-08T06:46:00Z</dcterms:created>
  <dcterms:modified xsi:type="dcterms:W3CDTF">2026-07-08T06:46:00Z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0x010100BB60110067CC5A4EA224973316E7E176</vt:lpwstr>
  </property>
  <property fmtid="{D5CDD505-2E9C-101B-9397-08002B2CF9AE}" pid="3" name="MediaServiceImageTags">
    <vt:lpwstr/>
  </property>
</Properties>
</file>