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F4425" w14:textId="60DDF6A7" w:rsidR="00CC672C" w:rsidRDefault="005E55E0" w:rsidP="005E55E0">
      <w:pPr>
        <w:pStyle w:val="USMGrandtitre"/>
      </w:pPr>
      <w:r>
        <w:t>Vade-mecum sur l’inscription directe au tableau d’avancement</w:t>
      </w:r>
    </w:p>
    <w:p w14:paraId="0FBBBF3F" w14:textId="77777777" w:rsidR="005E55E0" w:rsidRDefault="005E55E0"/>
    <w:p w14:paraId="2FAA16C7" w14:textId="77777777" w:rsidR="005E55E0" w:rsidRDefault="005E55E0" w:rsidP="005E55E0">
      <w:pPr>
        <w:rPr>
          <w:sz w:val="22"/>
        </w:rPr>
      </w:pPr>
    </w:p>
    <w:p w14:paraId="2B38A57D" w14:textId="77777777" w:rsidR="005E55E0" w:rsidRDefault="005E55E0" w:rsidP="005E55E0">
      <w:pPr>
        <w:keepNext/>
        <w:rPr>
          <w:b/>
          <w:bCs/>
          <w:u w:val="single"/>
        </w:rPr>
      </w:pPr>
      <w:r>
        <w:rPr>
          <w:b/>
          <w:bCs/>
          <w:u w:val="single"/>
        </w:rPr>
        <w:t>Quelle est la procédure pour l’inscription au TA ?</w:t>
      </w:r>
    </w:p>
    <w:p w14:paraId="3731740B" w14:textId="77777777" w:rsidR="005E55E0" w:rsidRDefault="005E55E0" w:rsidP="005E55E0">
      <w:r>
        <w:t xml:space="preserve">Dans toutes les juridictions, les chefs de cour ont fait </w:t>
      </w:r>
      <w:r>
        <w:rPr>
          <w:b/>
          <w:bCs/>
        </w:rPr>
        <w:t>afficher la liste des magistrats présentés</w:t>
      </w:r>
      <w:r>
        <w:t xml:space="preserve"> en vue de leur inscription au tableau d’avancement </w:t>
      </w:r>
      <w:r>
        <w:rPr>
          <w:b/>
          <w:bCs/>
        </w:rPr>
        <w:t>du 1</w:t>
      </w:r>
      <w:r>
        <w:rPr>
          <w:b/>
          <w:bCs/>
          <w:vertAlign w:val="superscript"/>
        </w:rPr>
        <w:t>er</w:t>
      </w:r>
      <w:r>
        <w:rPr>
          <w:b/>
          <w:bCs/>
        </w:rPr>
        <w:t xml:space="preserve"> au 15 février 2023</w:t>
      </w:r>
      <w:r>
        <w:t xml:space="preserve">. Les collègues susceptibles d’être inscrits mais non présentés peuvent solliciter leur </w:t>
      </w:r>
      <w:r>
        <w:rPr>
          <w:b/>
          <w:bCs/>
        </w:rPr>
        <w:t xml:space="preserve">inscription directe au tableau d’avancement </w:t>
      </w:r>
      <w:r>
        <w:rPr>
          <w:b/>
          <w:bCs/>
          <w:u w:val="single"/>
        </w:rPr>
        <w:t>avant le 15 mars 2024</w:t>
      </w:r>
      <w:r>
        <w:rPr>
          <w:b/>
          <w:bCs/>
        </w:rPr>
        <w:t xml:space="preserve"> </w:t>
      </w:r>
      <w:r>
        <w:t>(voir modalités ci-après).</w:t>
      </w:r>
    </w:p>
    <w:p w14:paraId="7F3D9658" w14:textId="77777777" w:rsidR="005E55E0" w:rsidRDefault="005E55E0" w:rsidP="005E55E0">
      <w:r>
        <w:t>Après instruction des dossiers, la commission d’avancement (CAV) arrêtera le tableau d’avancement définitif en juin 2024, dans le respect des dispositions des articles 34 à 36 du statut et 22 à 28 du décret n° 93-21 du 7 janvier 1993 pris pour l’application de l’ordonnance statutaire.</w:t>
      </w:r>
    </w:p>
    <w:p w14:paraId="78BDB1B1" w14:textId="77777777" w:rsidR="005E55E0" w:rsidRDefault="005E55E0" w:rsidP="005E55E0">
      <w:r>
        <w:t>Le renouvellement de l’inscription sur proposition du chef de cour étant de droit depuis la loi organique du 8 août 2016, la CAV n’examine que les premières présentations (ou les réinscriptions après une période de non-inscription) et les demandes d’inscription directe, selon des critères identiques.</w:t>
      </w:r>
    </w:p>
    <w:p w14:paraId="2056B9BB" w14:textId="77777777" w:rsidR="005E55E0" w:rsidRDefault="005E55E0" w:rsidP="005E55E0">
      <w:r>
        <w:t>Dans les faits, entre 90 et 96 % des collègues inscriptibles sont proposés tous les ans par les chefs de cour. Le nombre de demandes d’inscription directe est assez faible sauf depuis trois ans, et il y est très fréquemment donné une suite favorable (92 % en 2020 et 2021, les refus étant principalement motivés par des qualités et compétences professionnelles insuffisantes).</w:t>
      </w:r>
    </w:p>
    <w:p w14:paraId="3A1FFA19" w14:textId="77777777" w:rsidR="005E55E0" w:rsidRDefault="005E55E0" w:rsidP="005E55E0">
      <w:r>
        <w:t>Les collègues inscrits pourront postuler en avancement dans le cadre des appels à candidatures et des transparences publiés à compter de la publication du tableau. Concrètement, les collègues inscrits au TA en juin 2023 (publié au cours de l’été) ne pourront pas postuler en avancement dans le cadre du mouvement annuel de septembre 2023, dans la mesure où les transparences auront été publiées avant l’établissement du TA. Ils pourront en revanche obtenir une mobilité en avancement en janvier 2024.</w:t>
      </w:r>
    </w:p>
    <w:p w14:paraId="77CA6FA3" w14:textId="77777777" w:rsidR="005E55E0" w:rsidRDefault="005E55E0" w:rsidP="005E55E0">
      <w:pPr>
        <w:keepNext/>
        <w:rPr>
          <w:b/>
          <w:bCs/>
          <w:u w:val="single"/>
        </w:rPr>
      </w:pPr>
      <w:r>
        <w:rPr>
          <w:b/>
          <w:bCs/>
          <w:u w:val="single"/>
        </w:rPr>
        <w:t>Quelles sont les conditions pour être inscrit au tableau d’avancement ?</w:t>
      </w:r>
    </w:p>
    <w:p w14:paraId="2C29C943" w14:textId="77777777" w:rsidR="005E55E0" w:rsidRDefault="005E55E0" w:rsidP="005E55E0">
      <w:r>
        <w:t>L’article 36 du statut précise que la CAV statue sur l’inscription des magistrats « qui remplissent les conditions fixées par décret pour accéder aux fonctions du premier grade ».</w:t>
      </w:r>
    </w:p>
    <w:p w14:paraId="5A1ACB5B" w14:textId="77777777" w:rsidR="005E55E0" w:rsidRDefault="005E55E0" w:rsidP="005E55E0">
      <w:pPr>
        <w:keepNext/>
        <w:rPr>
          <w:b/>
          <w:bCs/>
          <w:i/>
          <w:iCs/>
        </w:rPr>
      </w:pPr>
      <w:r>
        <w:rPr>
          <w:b/>
          <w:bCs/>
          <w:i/>
          <w:iCs/>
        </w:rPr>
        <w:t>* Condition de mérite</w:t>
      </w:r>
    </w:p>
    <w:p w14:paraId="50F84EDB" w14:textId="77777777" w:rsidR="005E55E0" w:rsidRDefault="005E55E0" w:rsidP="005E55E0">
      <w:r>
        <w:t>Aux termes de l’article 22 du décret, l’inscription est réservée aux « magistrats jugés dignes d’obtenir un avancement ».</w:t>
      </w:r>
    </w:p>
    <w:p w14:paraId="60F5F781" w14:textId="77777777" w:rsidR="005E55E0" w:rsidRDefault="005E55E0" w:rsidP="005E55E0">
      <w:r>
        <w:t>En pratique, la commission étudie collégialement le dossier de chaque collègue et vérifie qu’il ne présente aucune insuffisance professionnelle (aussi bien dans les appréciations littérales qu’au travers des appréciations analytiques) ou difficulté sérieuse à travailler en équipe. Lorsque des difficultés ont été relevées dans les évaluations précédentes, la commission examine attentivement l’évolution récente de l’activité professionnelle du collègue.</w:t>
      </w:r>
    </w:p>
    <w:p w14:paraId="572508CC" w14:textId="77777777" w:rsidR="005E55E0" w:rsidRDefault="005E55E0" w:rsidP="005E55E0">
      <w:pPr>
        <w:keepNext/>
        <w:rPr>
          <w:b/>
          <w:bCs/>
          <w:i/>
          <w:iCs/>
        </w:rPr>
      </w:pPr>
      <w:r>
        <w:rPr>
          <w:b/>
          <w:bCs/>
          <w:i/>
          <w:iCs/>
        </w:rPr>
        <w:lastRenderedPageBreak/>
        <w:t>* Conditions de durée d’ancienneté et de services effectifs</w:t>
      </w:r>
    </w:p>
    <w:p w14:paraId="42CF5A64" w14:textId="77777777" w:rsidR="005E55E0" w:rsidRDefault="005E55E0" w:rsidP="005E55E0">
      <w:r>
        <w:t xml:space="preserve">L’article 15 du décret dispose par ailleurs que « peuvent seuls accéder aux fonctions du premier grade les magistrats du second grade justifiant de </w:t>
      </w:r>
      <w:r>
        <w:rPr>
          <w:b/>
          <w:bCs/>
        </w:rPr>
        <w:t>sept années d'ancienneté dont cinq ans de services effectifs</w:t>
      </w:r>
      <w:r>
        <w:t xml:space="preserve"> en position d'activité ou de détachement depuis leur installation dans leurs premières fonctions judiciaires et inscrits au tableau d'avancement ».</w:t>
      </w:r>
    </w:p>
    <w:p w14:paraId="27CB97D4" w14:textId="77777777" w:rsidR="005E55E0" w:rsidRDefault="005E55E0" w:rsidP="005E55E0">
      <w:r>
        <w:t>On peut s’interroger sur le point de savoir si les conditions de durée d’ancienneté et de services effectifs sont véritablement des conditions d’inscription au tableau d’avancement ou des conditions de nomination à un emploi du premier grade. Traditionnellement, la DSJ et la CAV considèrent que les conditions tenant à la durée d’ancienneté et de services effectifs constituent des conditions de recevabilité de l’inscription au tableau d’avancement. La circulaire annuelle de la DSJ sur l’évaluation et le tableau d’avancement expose dans le détail les règles de calcul de la durée d’ancienneté et de services effectifs. Il est ainsi demandé aux chefs de cour de ne pas inscrire les collègues qui ne rempliraient pas ces conditions.</w:t>
      </w:r>
    </w:p>
    <w:p w14:paraId="488C7043" w14:textId="77777777" w:rsidR="005E55E0" w:rsidRDefault="005E55E0" w:rsidP="005E55E0">
      <w:r>
        <w:t>Le calcul et la computation des durées d’ancienneté et de services effectifs sont plutôt complexes.</w:t>
      </w:r>
    </w:p>
    <w:p w14:paraId="4EBBA8C9" w14:textId="77777777" w:rsidR="005E55E0" w:rsidRDefault="005E55E0" w:rsidP="005E55E0">
      <w:r>
        <w:t xml:space="preserve">Le </w:t>
      </w:r>
      <w:r>
        <w:rPr>
          <w:b/>
          <w:bCs/>
        </w:rPr>
        <w:t>point de départ</w:t>
      </w:r>
      <w:r>
        <w:t xml:space="preserve"> de l’ancienneté correspond à la </w:t>
      </w:r>
      <w:r>
        <w:rPr>
          <w:b/>
          <w:bCs/>
        </w:rPr>
        <w:t>date d’installation</w:t>
      </w:r>
      <w:r>
        <w:t xml:space="preserve"> dans les fonctions de magistrat. Pour les intégrés directs en qualité de magistrat (art. 22), l’article 35 avant-dernier alinéa prévoit spécifiquement que la formation préalable est incluse dans la durée des services effectifs. Le stage de pré-affectation des auditeurs de justice et des concours complémentaires n’est, en revanche, pas pris en compte.</w:t>
      </w:r>
    </w:p>
    <w:p w14:paraId="1046F6D2" w14:textId="77777777" w:rsidR="005E55E0" w:rsidRDefault="005E55E0" w:rsidP="005E55E0">
      <w:r>
        <w:t xml:space="preserve">La </w:t>
      </w:r>
      <w:r>
        <w:rPr>
          <w:b/>
          <w:bCs/>
        </w:rPr>
        <w:t>durée</w:t>
      </w:r>
      <w:r>
        <w:t xml:space="preserve"> s’apprécie en principe </w:t>
      </w:r>
      <w:r>
        <w:rPr>
          <w:b/>
          <w:bCs/>
        </w:rPr>
        <w:t>au 30 juin de l’année qui suit celle de publication du TA</w:t>
      </w:r>
      <w:r>
        <w:t xml:space="preserve"> (voir rapport d’activité </w:t>
      </w:r>
      <w:hyperlink r:id="rId4" w:anchor="%5B%7B%22num%22%3A34%2C%22gen%22%3A0%7D%2C%7B%22name%22%3A%22XYZ%22%7D%2C54%2C523%2C0%5D" w:history="1">
        <w:r>
          <w:rPr>
            <w:rStyle w:val="Lienhypertexte"/>
          </w:rPr>
          <w:t>CAV 2020-2021</w:t>
        </w:r>
      </w:hyperlink>
      <w:r>
        <w:t>, p. 11). Pour le TA 2024, la durée de services sera donc appréciée au 30 juin 2025.</w:t>
      </w:r>
    </w:p>
    <w:p w14:paraId="0D779AED" w14:textId="77777777" w:rsidR="005E55E0" w:rsidRDefault="005E55E0" w:rsidP="005E55E0">
      <w:r>
        <w:t xml:space="preserve">- Concrètement, on calcule d’abord la </w:t>
      </w:r>
      <w:r>
        <w:rPr>
          <w:b/>
          <w:bCs/>
        </w:rPr>
        <w:t>durée de services effectifs</w:t>
      </w:r>
      <w:r>
        <w:t>.</w:t>
      </w:r>
    </w:p>
    <w:p w14:paraId="407F3842" w14:textId="77777777" w:rsidR="005E55E0" w:rsidRDefault="005E55E0" w:rsidP="005E55E0">
      <w:r>
        <w:t xml:space="preserve">Les collègues recrutés </w:t>
      </w:r>
      <w:proofErr w:type="gramStart"/>
      <w:r>
        <w:t>hors</w:t>
      </w:r>
      <w:proofErr w:type="gramEnd"/>
      <w:r>
        <w:t xml:space="preserve"> 1</w:t>
      </w:r>
      <w:r>
        <w:rPr>
          <w:vertAlign w:val="superscript"/>
        </w:rPr>
        <w:t>er</w:t>
      </w:r>
      <w:r>
        <w:t xml:space="preserve"> concours ayant une expérience professionnelle antérieure de plus de 12,66 ans en qualité de cadre (ou équivalent) sont susceptibles de bénéficier d’une prise en compte très partielle de celle-ci, dans la limite de deux ans, au titre de la durée de services effectifs (art. 17-4 du décret 93-21). La </w:t>
      </w:r>
      <w:r>
        <w:rPr>
          <w:b/>
          <w:bCs/>
        </w:rPr>
        <w:t>durée assimilable aux services effectifs</w:t>
      </w:r>
      <w:r>
        <w:t xml:space="preserve"> correspond à 3/8 des années au-delà de 12,66 ans. Cette durée est en principe précisée en annexe de l’arrêté de reprise indiciaire figurant dans le dossier administratif de chaque magistrat (voir le fichier joint « Retrouver son arrêté de reclassement »).</w:t>
      </w:r>
    </w:p>
    <w:p w14:paraId="6B9E24B9" w14:textId="77777777" w:rsidR="005E55E0" w:rsidRDefault="005E55E0" w:rsidP="005E55E0">
      <w:pPr>
        <w:rPr>
          <w:i/>
          <w:iCs/>
        </w:rPr>
      </w:pPr>
      <w:r>
        <w:rPr>
          <w:i/>
          <w:iCs/>
        </w:rPr>
        <w:t>Ex : Jasmine, ancienne juriste pendant 10 ans, est lauréate du concours complémentaire 2019. Elle ne bénéficie d’aucune prise en compte de son expérience antérieure au titre des services effectifs. Installée le 20 septembre 2020, elle justifiera de 4 ans 9 mois et 10 jours de services effectifs au 30 juin 2025. Elle ne remplit pas la condition de durée des services effectifs et devra donc attendre 2025 pour envisager son inscription au TA.</w:t>
      </w:r>
    </w:p>
    <w:p w14:paraId="2CF3CADD" w14:textId="77777777" w:rsidR="005E55E0" w:rsidRDefault="005E55E0" w:rsidP="005E55E0">
      <w:pPr>
        <w:rPr>
          <w:i/>
          <w:iCs/>
        </w:rPr>
      </w:pPr>
      <w:r>
        <w:rPr>
          <w:i/>
          <w:iCs/>
        </w:rPr>
        <w:t xml:space="preserve">Gérald, ancien officier de gendarmerie depuis 13 ans 10 mois et 8 jours, a été intégré direct sur le fondement de l’article 22 (voir extrait de l’arrêté de reprise dans le fichier « Retrouver son arrêté de reclassement »). Son ancienneté professionnelle assimilable au titre des services effectifs est de 5 mois et 10 jours. Il a commencé son stage préalable le 30 juillet 2020. Au 30 juin 2025, il justifiera de 4 ans 11 mois d’activité. Avec la majoration au titre de son expérience antérieure, il </w:t>
      </w:r>
      <w:r>
        <w:rPr>
          <w:i/>
          <w:iCs/>
        </w:rPr>
        <w:lastRenderedPageBreak/>
        <w:t>atteindra précisément la durée de 5 ans 4 mois et 10 jours de services effectifs. La condition est donc remplie.</w:t>
      </w:r>
    </w:p>
    <w:p w14:paraId="1FBA4B4A" w14:textId="77777777" w:rsidR="005E55E0" w:rsidRDefault="005E55E0" w:rsidP="005E55E0">
      <w:r>
        <w:t xml:space="preserve">- Dans un second temps, la commission calcule la </w:t>
      </w:r>
      <w:r>
        <w:rPr>
          <w:b/>
          <w:bCs/>
        </w:rPr>
        <w:t>durée d’ancienneté</w:t>
      </w:r>
      <w:r>
        <w:t xml:space="preserve">. Avant l’assouplissement de la position de la CAV, l’ancienneté était calculée à partir de la durée des services effectifs (incluant la durée assimilable aux services effectifs) et en y ajoutant les éventuelles bonifications d’ancienneté, principalement au titre du service national ou pour la moitié du temps passé outre-mer. Pour ces bonifications, les textes couvrent le temps « effectivement passé », ce qui exclut le temps passé en congés bonifiés ainsi que le temps d’activité postérieur au 30 juin de l’année suivant l’établissement du TA (voir </w:t>
      </w:r>
      <w:hyperlink r:id="rId5" w:anchor="%5B%7B%22num%22%3A34%2C%22gen%22%3A0%7D%2C%7B%22name%22%3A%22XYZ%22%7D%2C54%2C523%2C0%5D" w:history="1">
        <w:r>
          <w:rPr>
            <w:rStyle w:val="Lienhypertexte"/>
          </w:rPr>
          <w:t>rapport CAV 2020-2021</w:t>
        </w:r>
      </w:hyperlink>
      <w:r>
        <w:t>, p. 16).</w:t>
      </w:r>
    </w:p>
    <w:p w14:paraId="48E728E7" w14:textId="77777777" w:rsidR="005E55E0" w:rsidRDefault="005E55E0" w:rsidP="005E55E0">
      <w:r>
        <w:t>La CAV a dû se prononcer sur le point de savoir si la durée d’ancienneté prise en compte pour le reclassement d’échelon, prévue aux articles 17-2 et 17-3 du décret 93-21 (fraction différente et plus élevée que celle prévue au titre des services effectifs), ne devait pas être prise en compte.</w:t>
      </w:r>
    </w:p>
    <w:p w14:paraId="671909A5" w14:textId="77777777" w:rsidR="005E55E0" w:rsidRDefault="005E55E0" w:rsidP="005E55E0">
      <w:r>
        <w:t>La commission a considéré que la notion d’ancienneté n’était définie ni par l’ordonnance statutaire, ni par les textes d’application et qu’elle devait être distinguée de la notion de durée des services effectifs. Elle a retenu que le reclassement d’échelon fixé par le décret 93-21 reposait sur l’ancienneté dans le corps, comme dans l’ensemble de la fonction publique. Elle en a tiré la conséquence qu’il convenait, pour déterminer la durée d’ancienneté d’un magistrat, d’y inclure la fraction d’activité antérieure à l’entrée dans le corps, prise en compte au titre du reclassement « indiciaire », nonobstant l’assimilation très limitée de la durée d’activité antérieure à des services effectifs prévue par les dispositions de l’article 17-4 du décret.</w:t>
      </w:r>
    </w:p>
    <w:p w14:paraId="4693F614" w14:textId="77777777" w:rsidR="005E55E0" w:rsidRDefault="005E55E0" w:rsidP="005E55E0">
      <w:r>
        <w:t>Cette interprétation des textes n’est pas partagée par la DSJ, qui considère que la durée d’ancienneté ne devrait pas intégrer la fraction des années d’activité professionnelle antérieure prise en compte au titre du reclassement indiciaire.</w:t>
      </w:r>
    </w:p>
    <w:p w14:paraId="35542FC3" w14:textId="77777777" w:rsidR="005E55E0" w:rsidRDefault="005E55E0" w:rsidP="005E55E0">
      <w:pPr>
        <w:ind w:left="708"/>
      </w:pPr>
      <w:r>
        <w:t xml:space="preserve">Durée d’ancienneté = durée de services effectifs (y compris durée assimilable aux services effectifs) + majorations d’ancienneté </w:t>
      </w:r>
      <w:r>
        <w:rPr>
          <w:b/>
          <w:bCs/>
          <w:i/>
          <w:iCs/>
        </w:rPr>
        <w:t>+ fraction des années d’activité professionnelle antérieure prise en compte au titre du reclassement indiciaire (ajout de juin 2019)</w:t>
      </w:r>
    </w:p>
    <w:p w14:paraId="79B92527" w14:textId="77777777" w:rsidR="005E55E0" w:rsidRDefault="005E55E0" w:rsidP="005E55E0">
      <w:pPr>
        <w:rPr>
          <w:i/>
          <w:iCs/>
        </w:rPr>
      </w:pPr>
      <w:r>
        <w:rPr>
          <w:i/>
          <w:iCs/>
        </w:rPr>
        <w:t>Ex : Gérald n’a pas exercé outre-mer et n’a pas effectué son service national. Selon l’interprétation antérieure de la CAV, il ne justifiait que de 5 ans d’ancienneté, ce qui correspondait à la durée de services effectifs, sans majoration particulière. Il devait donc attendre le TA 2026 pour pouvoir être inscrit. Avec l’interprétation retenue par la CAV depuis 2019, on ajoute à cette durée la fraction des années d’activité professionnelle antérieure prise en compte au titre du reclassement indiciaire, soit en l’espèce plus de 4 ans 10 mois et 21 jours. Au total, avec la nouvelle interprétation de la CAV, Gérald justifie d’une ancienneté de 10 ans 3 mois et 1 jours dont 5 ans 4 mois et 10 jours au titre des services effectifs, il est inscriptible au TA 2024.</w:t>
      </w:r>
    </w:p>
    <w:p w14:paraId="4ED336CA" w14:textId="77777777" w:rsidR="005E55E0" w:rsidRDefault="005E55E0" w:rsidP="005E55E0">
      <w:r>
        <w:t>Vous trouverez ci-joint un fichier Excel (« Tableau inscription TA 2024 ») qui permet de calculer simplement si vous remplissez les conditions de durée pour l’inscription au tableau d’avancement en juin 2023. Pour le remplir, il suffit d’indiquer votre date d’installation (ou de début de stage préalable pour les articles 22) et les durées de reprises au titre de l’indice et des services effectifs figurant sur votre arrêté de reclassement (voir le fichier joint « Retrouver son arrêté de reclassement » pour comprendre quelles données sont importantes). Ce tableur simplifié n’intègre pas certaines hypothèses d’inactivité du magistrat. En cas de doute, vous pouvez me contacter (voir ci-après les éléments à me transmettre).</w:t>
      </w:r>
    </w:p>
    <w:p w14:paraId="17E9B356" w14:textId="77777777" w:rsidR="005E55E0" w:rsidRDefault="005E55E0" w:rsidP="005E55E0">
      <w:pPr>
        <w:keepNext/>
        <w:rPr>
          <w:b/>
          <w:bCs/>
          <w:u w:val="single"/>
        </w:rPr>
      </w:pPr>
      <w:r>
        <w:rPr>
          <w:b/>
          <w:bCs/>
          <w:u w:val="single"/>
        </w:rPr>
        <w:lastRenderedPageBreak/>
        <w:t>L’interprétation de la CAV est-elle définitive ?</w:t>
      </w:r>
    </w:p>
    <w:p w14:paraId="7B919672" w14:textId="77777777" w:rsidR="005E55E0" w:rsidRDefault="005E55E0" w:rsidP="005E55E0">
      <w:r>
        <w:t>Le changement d’interprétation de la CAV fait l’objet d’une vive opposition de la part de la DSJ. Pour autant, malgré le renouvellement de la composition de la CAV fin 2019 et fin 2022, l’interprétation nouvelle a été confirmée sans discontinuer depuis juin 2019. Les élus de l’USM, qui ont été à l’initiative de l’évolution de l’interprétation des textes, plus favorable aux collègues issus du recrutement latéral, continuent à soutenir celle-ci.</w:t>
      </w:r>
    </w:p>
    <w:p w14:paraId="1B459A10" w14:textId="77777777" w:rsidR="005E55E0" w:rsidRDefault="005E55E0" w:rsidP="005E55E0">
      <w:pPr>
        <w:keepNext/>
        <w:rPr>
          <w:b/>
          <w:bCs/>
          <w:u w:val="single"/>
        </w:rPr>
      </w:pPr>
      <w:r>
        <w:rPr>
          <w:b/>
          <w:bCs/>
          <w:u w:val="single"/>
        </w:rPr>
        <w:t>Jusqu’à quand puis-je présenter une demande d’inscription directe au tableau d’avancement ?</w:t>
      </w:r>
    </w:p>
    <w:p w14:paraId="58341B06" w14:textId="77777777" w:rsidR="005E55E0" w:rsidRDefault="005E55E0" w:rsidP="005E55E0">
      <w:r>
        <w:t>L’article 24 dernier alinéa du décret 93-21 dispose qu’</w:t>
      </w:r>
      <w:r>
        <w:rPr>
          <w:b/>
          <w:bCs/>
        </w:rPr>
        <w:t>avant le 15 mars (donc au plus tard le 14 mars)</w:t>
      </w:r>
      <w:r>
        <w:t>, les magistrats non compris dans les présentations peuvent adresser au secrétariat de la CAV une demande d'inscription au tableau d'avancement.</w:t>
      </w:r>
    </w:p>
    <w:p w14:paraId="61FD8C65" w14:textId="77777777" w:rsidR="005E55E0" w:rsidRDefault="005E55E0" w:rsidP="005E55E0">
      <w:pPr>
        <w:keepNext/>
        <w:rPr>
          <w:b/>
          <w:bCs/>
          <w:u w:val="single"/>
        </w:rPr>
      </w:pPr>
      <w:r>
        <w:rPr>
          <w:b/>
          <w:bCs/>
          <w:u w:val="single"/>
        </w:rPr>
        <w:t>Comment la présenter ?</w:t>
      </w:r>
    </w:p>
    <w:p w14:paraId="56FFE903" w14:textId="77777777" w:rsidR="005E55E0" w:rsidRDefault="005E55E0" w:rsidP="005E55E0">
      <w:r>
        <w:t xml:space="preserve">Vous trouverez ci-joint un modèle de demande d’inscription directe au tableau d’avancement, à adresser </w:t>
      </w:r>
      <w:r>
        <w:rPr>
          <w:b/>
          <w:bCs/>
        </w:rPr>
        <w:t>par la voie hiérarchique au secrétariat de la CAV</w:t>
      </w:r>
      <w:r>
        <w:t>.</w:t>
      </w:r>
    </w:p>
    <w:p w14:paraId="329B0EA1" w14:textId="77777777" w:rsidR="005E55E0" w:rsidRDefault="005E55E0" w:rsidP="005E55E0">
      <w:r>
        <w:t>Ce modèle intègre les éléments de calcul évoqués ci-avant.</w:t>
      </w:r>
    </w:p>
    <w:p w14:paraId="018CF79B" w14:textId="77777777" w:rsidR="005E55E0" w:rsidRDefault="005E55E0" w:rsidP="005E55E0">
      <w:r>
        <w:t xml:space="preserve">Il est vivement suggéré de conserver un </w:t>
      </w:r>
      <w:r>
        <w:rPr>
          <w:b/>
          <w:bCs/>
        </w:rPr>
        <w:t>justificatif de la date de dépôt de la demande</w:t>
      </w:r>
      <w:r>
        <w:t xml:space="preserve"> (soit par remise en main propre, soit par LRAR).</w:t>
      </w:r>
    </w:p>
    <w:p w14:paraId="1803A2DE" w14:textId="77777777" w:rsidR="005E55E0" w:rsidRDefault="005E55E0" w:rsidP="005E55E0">
      <w:r>
        <w:t>Par précaution, il est recommandé d’adresser un double de la demande au secrétariat de la CAV (</w:t>
      </w:r>
      <w:proofErr w:type="gramStart"/>
      <w:r>
        <w:t>Ministère</w:t>
      </w:r>
      <w:proofErr w:type="gramEnd"/>
      <w:r>
        <w:t xml:space="preserve"> de la Justice – Secrétariat de la commission d’avancement – DSJ / SDRHM / Bureau RHM2 – 13 place Vendôme – 75001 PARIS) ou par courriel à </w:t>
      </w:r>
      <w:hyperlink r:id="rId6" w:history="1">
        <w:r>
          <w:rPr>
            <w:rStyle w:val="Lienhypertexte"/>
          </w:rPr>
          <w:t>rhm2.dsj-sdrhm@justice.gouv.fr</w:t>
        </w:r>
      </w:hyperlink>
      <w:r>
        <w:t>.</w:t>
      </w:r>
    </w:p>
    <w:p w14:paraId="5E8BE2E8" w14:textId="77777777" w:rsidR="005E55E0" w:rsidRDefault="005E55E0" w:rsidP="005E55E0">
      <w:pPr>
        <w:keepNext/>
        <w:rPr>
          <w:b/>
          <w:bCs/>
          <w:u w:val="single"/>
        </w:rPr>
      </w:pPr>
      <w:r>
        <w:rPr>
          <w:b/>
          <w:bCs/>
          <w:u w:val="single"/>
        </w:rPr>
        <w:t>J’ai un doute sur les calculs ou la rédaction de ma de demande d’inscription directe, qui contacter ?</w:t>
      </w:r>
    </w:p>
    <w:p w14:paraId="378CD5D5" w14:textId="77777777" w:rsidR="005E55E0" w:rsidRDefault="005E55E0" w:rsidP="005E55E0">
      <w:r>
        <w:t xml:space="preserve">Je suis à votre disposition par courriel à l’adresse </w:t>
      </w:r>
      <w:hyperlink r:id="rId7" w:history="1">
        <w:r>
          <w:rPr>
            <w:rStyle w:val="Lienhypertexte"/>
          </w:rPr>
          <w:t>david.melison@outlook.fr</w:t>
        </w:r>
      </w:hyperlink>
      <w:r>
        <w:t xml:space="preserve"> pour vérifier l’application des conditions d’ancienneté à votre situation particulière, relire vos projets de courriers et répondre à vos questions.</w:t>
      </w:r>
    </w:p>
    <w:p w14:paraId="30F40B9F" w14:textId="77777777" w:rsidR="005E55E0" w:rsidRDefault="005E55E0" w:rsidP="005E55E0">
      <w:r>
        <w:t xml:space="preserve">Étant saisi d’un grand nombre de demandes, merci de bien vouloir m’indiquer la date de votre première prise de fonction, la date de début de votre stage préalable (pour les collègues recrutés sur le fondement de l’art. 22) et </w:t>
      </w:r>
      <w:r>
        <w:rPr>
          <w:b/>
          <w:bCs/>
        </w:rPr>
        <w:t>de me communiquer votre arrêté complet de reprise</w:t>
      </w:r>
      <w:r>
        <w:t>, incluant le calcul des durées prises en compte au titre de l’échelon et de la durée assimilée à des services effectifs (voir mode d’emploi pour le retrouver en PJ).</w:t>
      </w:r>
    </w:p>
    <w:p w14:paraId="1D6E91EE" w14:textId="77777777" w:rsidR="005E55E0" w:rsidRDefault="005E55E0" w:rsidP="005E55E0">
      <w:pPr>
        <w:keepNext/>
        <w:rPr>
          <w:b/>
          <w:bCs/>
          <w:u w:val="single"/>
        </w:rPr>
      </w:pPr>
      <w:r>
        <w:rPr>
          <w:b/>
          <w:bCs/>
          <w:u w:val="single"/>
        </w:rPr>
        <w:t>Quelle procédure suit ma demande d’inscription directe ?</w:t>
      </w:r>
    </w:p>
    <w:p w14:paraId="35E10FA8" w14:textId="77777777" w:rsidR="005E55E0" w:rsidRDefault="005E55E0" w:rsidP="005E55E0">
      <w:r>
        <w:t xml:space="preserve">Les demandes d’inscription directe font l’objet d’une instruction particulière. L'autorité chargée de l'évaluation y joint un </w:t>
      </w:r>
      <w:r>
        <w:rPr>
          <w:b/>
          <w:bCs/>
        </w:rPr>
        <w:t>avis circonstancié</w:t>
      </w:r>
      <w:r>
        <w:t>, versé au dossier administratif du collègue. Ce type d’avis prend généralement la forme d’une évaluation (pour les collègues non évalués en 2023) ou d’une simple note expliquant pourquoi le collègue mériterait ou non d’être inscrit.</w:t>
      </w:r>
    </w:p>
    <w:p w14:paraId="162282B7" w14:textId="77777777" w:rsidR="005E55E0" w:rsidRDefault="005E55E0" w:rsidP="005E55E0">
      <w:r>
        <w:t xml:space="preserve">Hormis dans les cas d’insuffisance professionnelle (évaluations en « Insuffisant » ou appréciations littérales négatives), la demande d’inscription directe ne comporte pas de risque particulier. Au </w:t>
      </w:r>
      <w:r>
        <w:lastRenderedPageBreak/>
        <w:t>pire, le collègue se heurtera à un refus de la CAV et devra attendre une ou deux années supplémentaires pour être inscrit.</w:t>
      </w:r>
    </w:p>
    <w:p w14:paraId="44FD626C" w14:textId="77777777" w:rsidR="005E55E0" w:rsidRDefault="005E55E0" w:rsidP="005E55E0">
      <w:pPr>
        <w:keepNext/>
        <w:rPr>
          <w:b/>
          <w:bCs/>
          <w:u w:val="single"/>
        </w:rPr>
      </w:pPr>
      <w:r>
        <w:rPr>
          <w:b/>
          <w:bCs/>
          <w:u w:val="single"/>
        </w:rPr>
        <w:t>Pourrai-je obtenir un poste en avancement si je suis inscrit en application de la nouvelle interprétation de la CAV ?</w:t>
      </w:r>
    </w:p>
    <w:p w14:paraId="47B5AF10" w14:textId="77777777" w:rsidR="005E55E0" w:rsidRDefault="005E55E0" w:rsidP="005E55E0">
      <w:r>
        <w:t>La DSJ maintient son refus de proposer en avancement des collègues qui ne rempliraient pas les conditions fixées par l’article 15 du décret telles qu’elle les interprète. Il n’est donc pas certain que l’inscription anticipée au TA permette de réaliser son avancement plus tôt.</w:t>
      </w:r>
    </w:p>
    <w:p w14:paraId="2009CCE2" w14:textId="77777777" w:rsidR="005E55E0" w:rsidRDefault="005E55E0" w:rsidP="005E55E0">
      <w:r>
        <w:t>Pour autant, la DSJ a déjà proposé en 2021 des postes en avancement à deux collègues ne respectant pas les conditions telles qu’elle les interprète.</w:t>
      </w:r>
    </w:p>
    <w:p w14:paraId="3305CC4D" w14:textId="77777777" w:rsidR="005E55E0" w:rsidRDefault="005E55E0" w:rsidP="005E55E0">
      <w:r>
        <w:t>En tout état de cause, l’inscription au tableau d’avancement demeure utile pour bénéficier d’une priorité par rapport aux collègues inscrits postérieurement.</w:t>
      </w:r>
    </w:p>
    <w:p w14:paraId="13B4C2EC" w14:textId="77777777" w:rsidR="005E55E0" w:rsidRDefault="005E55E0" w:rsidP="005E55E0"/>
    <w:p w14:paraId="4A53CFFA" w14:textId="77777777" w:rsidR="005E55E0" w:rsidRDefault="005E55E0" w:rsidP="005E55E0"/>
    <w:p w14:paraId="1FBD09C7" w14:textId="6CC8E239" w:rsidR="005E55E0" w:rsidRDefault="005E55E0" w:rsidP="005E55E0">
      <w:r>
        <w:t>David Melison</w:t>
      </w:r>
    </w:p>
    <w:p w14:paraId="5FAF9EEE" w14:textId="48FD49DE" w:rsidR="005E55E0" w:rsidRDefault="005E55E0" w:rsidP="005E55E0">
      <w:r>
        <w:t>DR Metz</w:t>
      </w:r>
    </w:p>
    <w:p w14:paraId="160F7B7E" w14:textId="1579B37F" w:rsidR="005E55E0" w:rsidRDefault="005E55E0" w:rsidP="005E55E0">
      <w:r>
        <w:t>Elu au CN USM</w:t>
      </w:r>
    </w:p>
    <w:p w14:paraId="30F5A2F6" w14:textId="77777777" w:rsidR="005E55E0" w:rsidRDefault="005E55E0" w:rsidP="005E55E0">
      <w:pPr>
        <w:pStyle w:val="USMNormal"/>
      </w:pPr>
    </w:p>
    <w:sectPr w:rsidR="005E55E0" w:rsidSect="005E5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5E0"/>
    <w:rsid w:val="00036BD7"/>
    <w:rsid w:val="00081D70"/>
    <w:rsid w:val="00266B1A"/>
    <w:rsid w:val="005E55E0"/>
    <w:rsid w:val="00660E47"/>
    <w:rsid w:val="0071664A"/>
    <w:rsid w:val="009755B3"/>
    <w:rsid w:val="009A07BC"/>
    <w:rsid w:val="00A17FCF"/>
    <w:rsid w:val="00AD4393"/>
    <w:rsid w:val="00CC672C"/>
    <w:rsid w:val="00F160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049E0"/>
  <w15:chartTrackingRefBased/>
  <w15:docId w15:val="{1E47819B-AD66-4428-B3ED-E163E4B9A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FCF"/>
    <w:pPr>
      <w:spacing w:line="240" w:lineRule="auto"/>
      <w:jc w:val="both"/>
    </w:pPr>
    <w:rPr>
      <w:rFonts w:ascii="Times New Roman" w:hAnsi="Times New Roman"/>
      <w:sz w:val="24"/>
      <w14:ligatures w14:val="none"/>
    </w:rPr>
  </w:style>
  <w:style w:type="paragraph" w:styleId="Titre2">
    <w:name w:val="heading 2"/>
    <w:basedOn w:val="Normal"/>
    <w:next w:val="Normal"/>
    <w:link w:val="Titre2Car"/>
    <w:uiPriority w:val="9"/>
    <w:semiHidden/>
    <w:unhideWhenUsed/>
    <w:qFormat/>
    <w:rsid w:val="009A07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9755B3"/>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9755B3"/>
    <w:rPr>
      <w:rFonts w:asciiTheme="majorHAnsi" w:eastAsiaTheme="majorEastAsia" w:hAnsiTheme="majorHAnsi" w:cstheme="majorBidi"/>
      <w:color w:val="1F3763" w:themeColor="accent1" w:themeShade="7F"/>
      <w:sz w:val="24"/>
      <w:szCs w:val="24"/>
    </w:rPr>
  </w:style>
  <w:style w:type="paragraph" w:styleId="Sansinterligne">
    <w:name w:val="No Spacing"/>
    <w:uiPriority w:val="1"/>
    <w:qFormat/>
    <w:rsid w:val="00A17FCF"/>
    <w:pPr>
      <w:spacing w:after="0" w:line="240" w:lineRule="auto"/>
      <w:jc w:val="both"/>
    </w:pPr>
    <w:rPr>
      <w:rFonts w:ascii="Times New Roman" w:hAnsi="Times New Roman"/>
      <w:sz w:val="24"/>
    </w:rPr>
  </w:style>
  <w:style w:type="paragraph" w:customStyle="1" w:styleId="USMGrandtitre">
    <w:name w:val="USM_Grand titre"/>
    <w:basedOn w:val="Sansinterligne"/>
    <w:link w:val="USMGrandtitreCar"/>
    <w:qFormat/>
    <w:rsid w:val="00F1607B"/>
    <w:pPr>
      <w:pBdr>
        <w:top w:val="single" w:sz="4" w:space="1" w:color="auto"/>
        <w:left w:val="single" w:sz="4" w:space="4" w:color="auto"/>
        <w:bottom w:val="single" w:sz="4" w:space="1" w:color="auto"/>
        <w:right w:val="single" w:sz="4" w:space="4" w:color="auto"/>
      </w:pBdr>
      <w:jc w:val="center"/>
    </w:pPr>
    <w:rPr>
      <w:b/>
      <w:bCs/>
      <w:color w:val="0070C0"/>
      <w:sz w:val="28"/>
      <w:szCs w:val="28"/>
    </w:rPr>
  </w:style>
  <w:style w:type="character" w:customStyle="1" w:styleId="USMGrandtitreCar">
    <w:name w:val="USM_Grand titre Car"/>
    <w:basedOn w:val="Policepardfaut"/>
    <w:link w:val="USMGrandtitre"/>
    <w:rsid w:val="00F1607B"/>
    <w:rPr>
      <w:rFonts w:ascii="Times New Roman" w:hAnsi="Times New Roman"/>
      <w:b/>
      <w:bCs/>
      <w:color w:val="0070C0"/>
      <w:sz w:val="28"/>
      <w:szCs w:val="28"/>
      <w:lang w:val="fr-FR"/>
    </w:rPr>
  </w:style>
  <w:style w:type="paragraph" w:customStyle="1" w:styleId="USMimportant">
    <w:name w:val="USM_important"/>
    <w:basedOn w:val="Sansinterligne"/>
    <w:link w:val="USMimportantCar"/>
    <w:qFormat/>
    <w:rsid w:val="00F1607B"/>
    <w:pPr>
      <w:spacing w:line="480" w:lineRule="auto"/>
    </w:pPr>
    <w:rPr>
      <w:b/>
      <w:bCs/>
      <w:color w:val="0070C0"/>
    </w:rPr>
  </w:style>
  <w:style w:type="character" w:customStyle="1" w:styleId="USMimportantCar">
    <w:name w:val="USM_important Car"/>
    <w:basedOn w:val="Policepardfaut"/>
    <w:link w:val="USMimportant"/>
    <w:rsid w:val="00F1607B"/>
    <w:rPr>
      <w:rFonts w:ascii="Times New Roman" w:hAnsi="Times New Roman"/>
      <w:b/>
      <w:bCs/>
      <w:color w:val="0070C0"/>
      <w:sz w:val="24"/>
      <w:lang w:val="fr-FR"/>
    </w:rPr>
  </w:style>
  <w:style w:type="paragraph" w:customStyle="1" w:styleId="USMNormal">
    <w:name w:val="USM_Normal"/>
    <w:basedOn w:val="Sansinterligne"/>
    <w:link w:val="USMNormalCar"/>
    <w:qFormat/>
    <w:rsid w:val="00081D70"/>
  </w:style>
  <w:style w:type="character" w:customStyle="1" w:styleId="USMNormalCar">
    <w:name w:val="USM_Normal Car"/>
    <w:basedOn w:val="Policepardfaut"/>
    <w:link w:val="USMNormal"/>
    <w:rsid w:val="00081D70"/>
    <w:rPr>
      <w:rFonts w:ascii="Times New Roman" w:hAnsi="Times New Roman"/>
      <w:sz w:val="24"/>
      <w:lang w:val="fr-FR"/>
    </w:rPr>
  </w:style>
  <w:style w:type="paragraph" w:customStyle="1" w:styleId="USMSous-titre">
    <w:name w:val="USM_Sous-titre"/>
    <w:basedOn w:val="Normal"/>
    <w:link w:val="USMSous-titreCar"/>
    <w:qFormat/>
    <w:rsid w:val="00081D70"/>
    <w:pPr>
      <w:spacing w:after="0"/>
    </w:pPr>
    <w:rPr>
      <w:b/>
      <w:bCs/>
      <w:kern w:val="2"/>
      <w14:ligatures w14:val="standardContextual"/>
    </w:rPr>
  </w:style>
  <w:style w:type="character" w:customStyle="1" w:styleId="USMSous-titreCar">
    <w:name w:val="USM_Sous-titre Car"/>
    <w:basedOn w:val="Policepardfaut"/>
    <w:link w:val="USMSous-titre"/>
    <w:rsid w:val="00081D70"/>
    <w:rPr>
      <w:rFonts w:ascii="Times New Roman" w:hAnsi="Times New Roman"/>
      <w:b/>
      <w:bCs/>
      <w:sz w:val="24"/>
      <w:lang w:val="fr-FR"/>
    </w:rPr>
  </w:style>
  <w:style w:type="paragraph" w:customStyle="1" w:styleId="USMTitredesparties">
    <w:name w:val="USM_Titre des parties"/>
    <w:basedOn w:val="Titre2"/>
    <w:link w:val="USMTitredespartiesCar"/>
    <w:qFormat/>
    <w:rsid w:val="009A07BC"/>
    <w:rPr>
      <w:rFonts w:cs="Times New Roman"/>
      <w:b/>
      <w:color w:val="4472C4" w:themeColor="accent1"/>
      <w:szCs w:val="24"/>
    </w:rPr>
  </w:style>
  <w:style w:type="character" w:customStyle="1" w:styleId="USMTitredespartiesCar">
    <w:name w:val="USM_Titre des parties Car"/>
    <w:basedOn w:val="Policepardfaut"/>
    <w:link w:val="USMTitredesparties"/>
    <w:rsid w:val="009A07BC"/>
    <w:rPr>
      <w:rFonts w:asciiTheme="majorHAnsi" w:eastAsiaTheme="majorEastAsia" w:hAnsiTheme="majorHAnsi" w:cs="Times New Roman"/>
      <w:b/>
      <w:color w:val="4472C4" w:themeColor="accent1"/>
      <w:kern w:val="0"/>
      <w:sz w:val="26"/>
      <w:szCs w:val="24"/>
      <w:lang w:val="fr-FR"/>
      <w14:ligatures w14:val="none"/>
    </w:rPr>
  </w:style>
  <w:style w:type="character" w:customStyle="1" w:styleId="Titre2Car">
    <w:name w:val="Titre 2 Car"/>
    <w:basedOn w:val="Policepardfaut"/>
    <w:link w:val="Titre2"/>
    <w:uiPriority w:val="9"/>
    <w:semiHidden/>
    <w:rsid w:val="009A07BC"/>
    <w:rPr>
      <w:rFonts w:asciiTheme="majorHAnsi" w:eastAsiaTheme="majorEastAsia" w:hAnsiTheme="majorHAnsi" w:cstheme="majorBidi"/>
      <w:color w:val="2F5496" w:themeColor="accent1" w:themeShade="BF"/>
      <w:kern w:val="0"/>
      <w:sz w:val="26"/>
      <w:szCs w:val="26"/>
      <w:lang w:val="fr-FR"/>
      <w14:ligatures w14:val="none"/>
    </w:rPr>
  </w:style>
  <w:style w:type="character" w:styleId="Lienhypertexte">
    <w:name w:val="Hyperlink"/>
    <w:basedOn w:val="Policepardfaut"/>
    <w:uiPriority w:val="99"/>
    <w:semiHidden/>
    <w:unhideWhenUsed/>
    <w:rsid w:val="005E55E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77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avid.melison@outlook.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hm2.dsj-sdrhm@justice.gouv.fr" TargetMode="External"/><Relationship Id="rId5" Type="http://schemas.openxmlformats.org/officeDocument/2006/relationships/hyperlink" Target="https://lajusticerecrute.fr/sites/default/files/2022-02/Rapport%20d'activit%C3%A9%202020-2021_0.pdf" TargetMode="External"/><Relationship Id="rId4" Type="http://schemas.openxmlformats.org/officeDocument/2006/relationships/hyperlink" Target="https://lajusticerecrute.fr/sites/default/files/2022-02/Rapport%20d'activit%C3%A9%202020-2021_0.pdf"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2215</Words>
  <Characters>12183</Characters>
  <Application>Microsoft Office Word</Application>
  <DocSecurity>0</DocSecurity>
  <Lines>101</Lines>
  <Paragraphs>28</Paragraphs>
  <ScaleCrop>false</ScaleCrop>
  <Company/>
  <LinksUpToDate>false</LinksUpToDate>
  <CharactersWithSpaces>14370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Natacha AUBENEAU</dc:creator>
  <cp:keywords/>
  <dc:description/>
  <cp:lastModifiedBy>Natacha AUBENEAU</cp:lastModifiedBy>
  <cp:revision>1</cp:revision>
  <dcterms:created xsi:type="dcterms:W3CDTF">2024-02-05T13:02:00Z</dcterms:created>
  <dcterms:modified xsi:type="dcterms:W3CDTF">2024-02-05T13:05:00Z</dcterms:modified>
</cp:coreProperties>
</file>